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MS UI Gothic"/>
          <w:b/>
          <w:sz w:val="20"/>
        </w:rPr>
      </w:pPr>
    </w:p>
    <w:p>
      <w:pPr>
        <w:pStyle w:val="4"/>
        <w:rPr>
          <w:rFonts w:ascii="MS UI Gothic"/>
          <w:b/>
          <w:sz w:val="20"/>
        </w:rPr>
      </w:pPr>
      <w:r>
        <mc:AlternateContent>
          <mc:Choice Requires="wps">
            <w:drawing>
              <wp:anchor distT="0" distB="0" distL="114300" distR="114300" simplePos="0" relativeHeight="251658240" behindDoc="0" locked="0" layoutInCell="1" allowOverlap="1">
                <wp:simplePos x="0" y="0"/>
                <wp:positionH relativeFrom="page">
                  <wp:posOffset>933450</wp:posOffset>
                </wp:positionH>
                <wp:positionV relativeFrom="page">
                  <wp:posOffset>1661160</wp:posOffset>
                </wp:positionV>
                <wp:extent cx="5993765" cy="17780"/>
                <wp:effectExtent l="0" t="4445" r="6985" b="6350"/>
                <wp:wrapNone/>
                <wp:docPr id="2" name="直线 2"/>
                <wp:cNvGraphicFramePr/>
                <a:graphic xmlns:a="http://schemas.openxmlformats.org/drawingml/2006/main">
                  <a:graphicData uri="http://schemas.microsoft.com/office/word/2010/wordprocessingShape">
                    <wps:wsp>
                      <wps:cNvCnPr/>
                      <wps:spPr>
                        <a:xfrm flipV="1">
                          <a:off x="0" y="0"/>
                          <a:ext cx="599376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8240;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JDBXtgAAAAMAQAADwAAAAAA&#10;AAABACAAAAAiAAAAZHJzL2Rvd25yZXYueG1sUEsBAhQAFAAAAAgAh07iQEjKKOHaAQAAmwMAAA4A&#10;AAAAAAAAAQAgAAAAJwEAAGRycy9lMm9Eb2MueG1sUEsFBgAAAAAGAAYAWQEAAHMFAAAAAA==&#10;">
                <v:fill on="f" focussize="0,0"/>
                <v:stroke color="#000000" joinstyle="round"/>
                <v:imagedata o:title=""/>
                <o:lock v:ext="edit" aspectratio="f"/>
              </v:line>
            </w:pict>
          </mc:Fallback>
        </mc:AlternateContent>
      </w:r>
    </w:p>
    <w:p>
      <w:pPr>
        <w:pStyle w:val="4"/>
        <w:rPr>
          <w:rFonts w:ascii="MS UI Gothic"/>
          <w:b/>
          <w:sz w:val="20"/>
        </w:rPr>
      </w:pPr>
    </w:p>
    <w:p>
      <w:pPr>
        <w:spacing w:before="1"/>
        <w:ind w:left="403" w:right="0" w:firstLine="0"/>
        <w:jc w:val="left"/>
        <w:rPr>
          <w:rFonts w:hint="eastAsia" w:ascii="宋体" w:hAnsi="宋体" w:eastAsia="宋体" w:cs="宋体"/>
          <w:sz w:val="21"/>
        </w:rPr>
      </w:pPr>
    </w:p>
    <w:p>
      <w:pPr>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乳酸脱氢酶(LDH)检测试剂盒(LD-P比色法)</w:t>
      </w:r>
      <w:r>
        <w:rPr>
          <w:rFonts w:hint="eastAsia" w:ascii="微软雅黑" w:hAnsi="微软雅黑" w:eastAsia="微软雅黑" w:cs="微软雅黑"/>
          <w:b/>
          <w:bCs/>
          <w:sz w:val="30"/>
          <w:szCs w:val="30"/>
          <w:lang w:val="en-US" w:eastAsia="zh-CN"/>
        </w:rPr>
        <w:t>说明书</w:t>
      </w:r>
    </w:p>
    <w:p>
      <w:pPr>
        <w:spacing w:beforeLines="0" w:after="75" w:afterLines="0" w:line="360" w:lineRule="auto"/>
        <w:ind w:right="225"/>
        <w:jc w:val="left"/>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b/>
          <w:bCs/>
          <w:sz w:val="24"/>
          <w:szCs w:val="24"/>
          <w:lang w:val="en-US" w:eastAsia="zh-CN"/>
        </w:rPr>
        <w:t>产品编号：</w:t>
      </w:r>
      <w:bookmarkStart w:id="0" w:name="_GoBack"/>
      <w:r>
        <w:rPr>
          <w:rFonts w:hint="eastAsia" w:ascii="微软雅黑" w:hAnsi="微软雅黑" w:eastAsia="微软雅黑" w:cs="微软雅黑"/>
          <w:sz w:val="21"/>
          <w:szCs w:val="21"/>
          <w:lang w:val="en-US" w:eastAsia="zh-CN" w:bidi="zh-CN"/>
        </w:rPr>
        <w:t>RC22165</w:t>
      </w:r>
    </w:p>
    <w:bookmarkEnd w:id="0"/>
    <w:p>
      <w:pPr>
        <w:spacing w:beforeLines="0" w:after="75" w:afterLines="0" w:line="360" w:lineRule="auto"/>
        <w:ind w:right="225"/>
        <w:jc w:val="left"/>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产品简介：</w:t>
      </w:r>
    </w:p>
    <w:p>
      <w:pPr>
        <w:spacing w:beforeLines="0" w:after="75" w:afterLines="0" w:line="360" w:lineRule="auto"/>
        <w:ind w:right="225" w:firstLine="420" w:firstLineChars="200"/>
        <w:jc w:val="left"/>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乳酸脱氢酶(lactate dehydrogenase，LDH 或 LD)属于氧化还原酶，能够催化氢氧原子或电子从一中底物转移到另一种底物上乳酸脱氢酶是糖酵解和糖异生的一个极其重要的酶，含有锌离子，广泛分布于人和动物组织、植物和微生物中，能可逆的催化乳酸(L)和丙酮酸(P)之间的氧化还原反应。其反应公式：乳酸+NAD + →丙酮酸+NADH+H + 。L→P 为正向反应；P→L 为逆向反应。</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乳酸脱氢酶(LDH)检测试剂盒(LD-P 比色法)是利用乳酸脱氢酶催化上述逆反应，即丙酮酸+NADH+H + →乳酸+NAD + 。在上述反应过程中丙酮酸还原成乳酸，同时NADH 氧化成 NAD + ，引起 340nm 处吸光度的下降，其下降速率与标品中 LDH 活性呈正比关系，通过分光光度计或自动分析仪检测 340nm 处吸光度下降速率，通过计算获得乳酸脱氢酶的活性。该 LD-P 法的优点是：1、操作比二硝基苯肼比色法简单；2、重复性好；3、准确性比二硝基苯肼法好；4、适用于自动分析仪。该试剂盒仅用于科研领域，不宜用于临床诊断或其他用途。</w:t>
      </w:r>
    </w:p>
    <w:p>
      <w:pPr>
        <w:spacing w:beforeLines="0" w:after="75" w:afterLines="0" w:line="360" w:lineRule="auto"/>
        <w:ind w:right="225"/>
        <w:jc w:val="left"/>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产品组成：</w:t>
      </w:r>
    </w:p>
    <w:p>
      <w:pPr>
        <w:tabs>
          <w:tab w:val="left" w:pos="1604"/>
        </w:tabs>
        <w:bidi w:val="0"/>
        <w:jc w:val="left"/>
        <w:rPr>
          <w:rFonts w:hint="default"/>
          <w:lang w:val="en-US" w:eastAsia="zh-CN"/>
        </w:rPr>
      </w:pPr>
      <w:r>
        <w:rPr>
          <w:sz w:val="22"/>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179705</wp:posOffset>
                </wp:positionV>
                <wp:extent cx="2268855" cy="356235"/>
                <wp:effectExtent l="635" t="4445" r="16510" b="20320"/>
                <wp:wrapNone/>
                <wp:docPr id="1" name="直接连接符 1"/>
                <wp:cNvGraphicFramePr/>
                <a:graphic xmlns:a="http://schemas.openxmlformats.org/drawingml/2006/main">
                  <a:graphicData uri="http://schemas.microsoft.com/office/word/2010/wordprocessingShape">
                    <wps:wsp>
                      <wps:cNvCnPr/>
                      <wps:spPr>
                        <a:xfrm>
                          <a:off x="985520" y="7569200"/>
                          <a:ext cx="2268855" cy="356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75pt;margin-top:14.15pt;height:28.05pt;width:178.65pt;z-index:251659264;mso-width-relative:page;mso-height-relative:page;" filled="f" stroked="t" coordsize="21600,21600" o:gfxdata="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CF5FtgAAAAJ&#10;AQAADwAAAAAAAAABACAAAAAiAAAAZHJzL2Rvd25yZXYueG1sUEsBAhQAFAAAAAgAh07iQPalCs3j&#10;AQAAlQMAAA4AAAAAAAAAAQAgAAAAJwEAAGRycy9lMm9Eb2MueG1sUEsFBgAAAAAGAAYAWQEAAHwF&#10;AAAAAA==&#10;">
                <v:fill on="f" focussize="0,0"/>
                <v:stroke color="#000000 [3200]" joinstyle="round"/>
                <v:imagedata o:title=""/>
                <o:lock v:ext="edit" aspectratio="f"/>
              </v:line>
            </w:pict>
          </mc:Fallback>
        </mc:AlternateContent>
      </w:r>
      <w:r>
        <w:rPr>
          <w:rFonts w:hint="default"/>
          <w:lang w:val="en-US" w:eastAsia="zh-CN"/>
        </w:rPr>
        <w:t>度的下降，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485"/>
        <w:gridCol w:w="2659"/>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85" w:type="dxa"/>
          </w:tcPr>
          <w:p>
            <w:pPr>
              <w:tabs>
                <w:tab w:val="left" w:pos="1604"/>
              </w:tabs>
              <w:bidi w:val="0"/>
              <w:jc w:val="left"/>
              <w:rPr>
                <w:rFonts w:hint="eastAsia" w:eastAsia="宋体"/>
                <w:vertAlign w:val="baseline"/>
                <w:lang w:val="en-US" w:eastAsia="zh-CN"/>
              </w:rPr>
            </w:pPr>
            <w:r>
              <w:rPr>
                <w:rFonts w:hint="eastAsia"/>
                <w:vertAlign w:val="baseline"/>
                <w:lang w:val="en-US" w:eastAsia="zh-CN"/>
              </w:rPr>
              <w:t xml:space="preserve">                     </w:t>
            </w:r>
            <w:r>
              <w:rPr>
                <w:rFonts w:hint="eastAsia" w:eastAsia="宋体"/>
                <w:vertAlign w:val="baseline"/>
                <w:lang w:val="en-US" w:eastAsia="zh-CN"/>
              </w:rPr>
              <w:t>编号</w:t>
            </w:r>
          </w:p>
          <w:p>
            <w:pPr>
              <w:tabs>
                <w:tab w:val="left" w:pos="1604"/>
              </w:tabs>
              <w:bidi w:val="0"/>
              <w:jc w:val="left"/>
              <w:rPr>
                <w:rFonts w:hint="default"/>
                <w:vertAlign w:val="baseline"/>
                <w:lang w:val="en-US" w:eastAsia="zh-CN"/>
              </w:rPr>
            </w:pPr>
            <w:r>
              <w:rPr>
                <w:rFonts w:hint="eastAsia"/>
                <w:vertAlign w:val="baseline"/>
                <w:lang w:val="en-US" w:eastAsia="zh-CN"/>
              </w:rPr>
              <w:t>名称</w:t>
            </w:r>
          </w:p>
        </w:tc>
        <w:tc>
          <w:tcPr>
            <w:tcW w:w="2659" w:type="dxa"/>
          </w:tcPr>
          <w:p>
            <w:pPr>
              <w:tabs>
                <w:tab w:val="left" w:pos="1604"/>
              </w:tabs>
              <w:bidi w:val="0"/>
              <w:jc w:val="center"/>
              <w:rPr>
                <w:rFonts w:hint="eastAsia"/>
                <w:vertAlign w:val="baseline"/>
                <w:lang w:val="en-US" w:eastAsia="zh-CN"/>
              </w:rPr>
            </w:pPr>
            <w:r>
              <w:rPr>
                <w:rFonts w:hint="eastAsia"/>
                <w:vertAlign w:val="baseline"/>
                <w:lang w:val="en-US" w:eastAsia="zh-CN"/>
              </w:rPr>
              <w:t>RC22165</w:t>
            </w:r>
          </w:p>
          <w:p>
            <w:pPr>
              <w:tabs>
                <w:tab w:val="left" w:pos="1604"/>
              </w:tabs>
              <w:bidi w:val="0"/>
              <w:jc w:val="center"/>
              <w:rPr>
                <w:rFonts w:hint="default"/>
                <w:vertAlign w:val="baseline"/>
                <w:lang w:val="en-US" w:eastAsia="zh-CN"/>
              </w:rPr>
            </w:pPr>
            <w:r>
              <w:rPr>
                <w:rFonts w:hint="eastAsia"/>
                <w:vertAlign w:val="baseline"/>
                <w:lang w:val="en-US" w:eastAsia="zh-CN"/>
              </w:rPr>
              <w:t>100T</w:t>
            </w:r>
          </w:p>
        </w:tc>
        <w:tc>
          <w:tcPr>
            <w:tcW w:w="3072" w:type="dxa"/>
          </w:tcPr>
          <w:p>
            <w:pPr>
              <w:tabs>
                <w:tab w:val="left" w:pos="1604"/>
              </w:tabs>
              <w:bidi w:val="0"/>
              <w:jc w:val="center"/>
              <w:rPr>
                <w:rFonts w:hint="default"/>
                <w:vertAlign w:val="baseline"/>
                <w:lang w:val="en-US" w:eastAsia="zh-CN"/>
              </w:rPr>
            </w:pPr>
            <w:r>
              <w:rPr>
                <w:rFonts w:hint="default"/>
                <w:vertAlign w:val="baseline"/>
                <w:lang w:val="en-US" w:eastAsia="zh-CN"/>
              </w:rPr>
              <w:t>Storage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85" w:type="dxa"/>
          </w:tcPr>
          <w:p>
            <w:pPr>
              <w:tabs>
                <w:tab w:val="left" w:pos="1604"/>
              </w:tabs>
              <w:bidi w:val="0"/>
              <w:jc w:val="left"/>
              <w:rPr>
                <w:rFonts w:hint="default"/>
                <w:vertAlign w:val="baseline"/>
                <w:lang w:val="en-US" w:eastAsia="zh-CN"/>
              </w:rPr>
            </w:pPr>
            <w:r>
              <w:rPr>
                <w:rFonts w:hint="default"/>
                <w:vertAlign w:val="baseline"/>
                <w:lang w:val="en-US" w:eastAsia="zh-CN"/>
              </w:rPr>
              <w:t xml:space="preserve">试剂(A): NADH </w:t>
            </w:r>
          </w:p>
        </w:tc>
        <w:tc>
          <w:tcPr>
            <w:tcW w:w="2659" w:type="dxa"/>
          </w:tcPr>
          <w:p>
            <w:pPr>
              <w:tabs>
                <w:tab w:val="left" w:pos="1604"/>
              </w:tabs>
              <w:bidi w:val="0"/>
              <w:jc w:val="center"/>
              <w:rPr>
                <w:rFonts w:hint="default"/>
                <w:vertAlign w:val="baseline"/>
                <w:lang w:val="en-US" w:eastAsia="zh-CN"/>
              </w:rPr>
            </w:pPr>
            <w:r>
              <w:rPr>
                <w:rFonts w:hint="default"/>
                <w:vertAlign w:val="baseline"/>
                <w:lang w:val="en-US" w:eastAsia="zh-CN"/>
              </w:rPr>
              <w:t>2 支</w:t>
            </w:r>
          </w:p>
        </w:tc>
        <w:tc>
          <w:tcPr>
            <w:tcW w:w="3072" w:type="dxa"/>
          </w:tcPr>
          <w:p>
            <w:pPr>
              <w:tabs>
                <w:tab w:val="left" w:pos="1604"/>
              </w:tabs>
              <w:bidi w:val="0"/>
              <w:jc w:val="center"/>
              <w:rPr>
                <w:rFonts w:hint="default"/>
                <w:vertAlign w:val="baseline"/>
                <w:lang w:val="en-US" w:eastAsia="zh-CN"/>
              </w:rPr>
            </w:pPr>
            <w:r>
              <w:rPr>
                <w:rFonts w:hint="default"/>
                <w:vertAlign w:val="baseline"/>
                <w:lang w:val="en-US" w:eastAsia="zh-CN"/>
              </w:rPr>
              <w:t>-20℃ 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85" w:type="dxa"/>
          </w:tcPr>
          <w:p>
            <w:pPr>
              <w:tabs>
                <w:tab w:val="left" w:pos="1604"/>
              </w:tabs>
              <w:bidi w:val="0"/>
              <w:jc w:val="left"/>
              <w:rPr>
                <w:rFonts w:hint="default"/>
                <w:vertAlign w:val="baseline"/>
                <w:lang w:val="en-US" w:eastAsia="zh-CN"/>
              </w:rPr>
            </w:pPr>
            <w:r>
              <w:rPr>
                <w:rFonts w:hint="default"/>
                <w:vertAlign w:val="baseline"/>
                <w:lang w:val="en-US" w:eastAsia="zh-CN"/>
              </w:rPr>
              <w:t xml:space="preserve">试剂(B): LD-P Assay buffer </w:t>
            </w:r>
          </w:p>
        </w:tc>
        <w:tc>
          <w:tcPr>
            <w:tcW w:w="2659" w:type="dxa"/>
          </w:tcPr>
          <w:p>
            <w:pPr>
              <w:tabs>
                <w:tab w:val="left" w:pos="1604"/>
              </w:tabs>
              <w:bidi w:val="0"/>
              <w:jc w:val="center"/>
              <w:rPr>
                <w:rFonts w:hint="default"/>
                <w:vertAlign w:val="baseline"/>
                <w:lang w:val="en-US" w:eastAsia="zh-CN"/>
              </w:rPr>
            </w:pPr>
            <w:r>
              <w:rPr>
                <w:rFonts w:hint="default"/>
                <w:vertAlign w:val="baseline"/>
                <w:lang w:val="en-US" w:eastAsia="zh-CN"/>
              </w:rPr>
              <w:t>250ml</w:t>
            </w:r>
          </w:p>
        </w:tc>
        <w:tc>
          <w:tcPr>
            <w:tcW w:w="3072" w:type="dxa"/>
          </w:tcPr>
          <w:p>
            <w:pPr>
              <w:tabs>
                <w:tab w:val="left" w:pos="1604"/>
              </w:tabs>
              <w:bidi w:val="0"/>
              <w:jc w:val="center"/>
              <w:rPr>
                <w:rFonts w:hint="default"/>
                <w:vertAlign w:val="baseline"/>
                <w:lang w:val="en-US" w:eastAsia="zh-CN"/>
              </w:rPr>
            </w:pPr>
            <w:r>
              <w:rPr>
                <w:rFonts w:hint="default"/>
                <w:vertAlign w:val="baseline"/>
                <w:lang w:val="en-US" w:eastAsia="zh-CN"/>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85" w:type="dxa"/>
          </w:tcPr>
          <w:p>
            <w:pPr>
              <w:tabs>
                <w:tab w:val="left" w:pos="1604"/>
              </w:tabs>
              <w:bidi w:val="0"/>
              <w:jc w:val="left"/>
              <w:rPr>
                <w:rFonts w:hint="default"/>
                <w:vertAlign w:val="baseline"/>
                <w:lang w:val="en-US" w:eastAsia="zh-CN"/>
              </w:rPr>
            </w:pPr>
            <w:r>
              <w:rPr>
                <w:rFonts w:hint="default"/>
                <w:vertAlign w:val="baseline"/>
                <w:lang w:val="en-US" w:eastAsia="zh-CN"/>
              </w:rPr>
              <w:t xml:space="preserve">试剂(C): 丙酮酸溶液 </w:t>
            </w:r>
          </w:p>
        </w:tc>
        <w:tc>
          <w:tcPr>
            <w:tcW w:w="2659" w:type="dxa"/>
          </w:tcPr>
          <w:p>
            <w:pPr>
              <w:tabs>
                <w:tab w:val="left" w:pos="1604"/>
              </w:tabs>
              <w:bidi w:val="0"/>
              <w:jc w:val="center"/>
              <w:rPr>
                <w:rFonts w:hint="default"/>
                <w:vertAlign w:val="baseline"/>
                <w:lang w:val="en-US" w:eastAsia="zh-CN"/>
              </w:rPr>
            </w:pPr>
            <w:r>
              <w:rPr>
                <w:rFonts w:hint="default"/>
                <w:vertAlign w:val="baseline"/>
                <w:lang w:val="en-US" w:eastAsia="zh-CN"/>
              </w:rPr>
              <w:t>2×1.5ml</w:t>
            </w:r>
          </w:p>
        </w:tc>
        <w:tc>
          <w:tcPr>
            <w:tcW w:w="3072" w:type="dxa"/>
          </w:tcPr>
          <w:p>
            <w:pPr>
              <w:tabs>
                <w:tab w:val="left" w:pos="1604"/>
              </w:tabs>
              <w:bidi w:val="0"/>
              <w:jc w:val="center"/>
              <w:rPr>
                <w:rFonts w:hint="default"/>
                <w:vertAlign w:val="baseline"/>
                <w:lang w:val="en-US" w:eastAsia="zh-CN"/>
              </w:rPr>
            </w:pPr>
            <w:r>
              <w:rPr>
                <w:rFonts w:hint="default"/>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85" w:type="dxa"/>
          </w:tcPr>
          <w:p>
            <w:pPr>
              <w:tabs>
                <w:tab w:val="left" w:pos="1604"/>
              </w:tabs>
              <w:bidi w:val="0"/>
              <w:jc w:val="left"/>
              <w:rPr>
                <w:rFonts w:hint="default"/>
                <w:vertAlign w:val="baseline"/>
                <w:lang w:val="en-US" w:eastAsia="zh-CN"/>
              </w:rPr>
            </w:pPr>
            <w:r>
              <w:rPr>
                <w:rFonts w:hint="default"/>
                <w:vertAlign w:val="baseline"/>
                <w:lang w:val="en-US" w:eastAsia="zh-CN"/>
              </w:rPr>
              <w:t xml:space="preserve">试剂(D): 丙酮酸稀释液 </w:t>
            </w:r>
          </w:p>
        </w:tc>
        <w:tc>
          <w:tcPr>
            <w:tcW w:w="2659" w:type="dxa"/>
          </w:tcPr>
          <w:p>
            <w:pPr>
              <w:tabs>
                <w:tab w:val="left" w:pos="1604"/>
              </w:tabs>
              <w:bidi w:val="0"/>
              <w:jc w:val="center"/>
              <w:rPr>
                <w:rFonts w:hint="default"/>
                <w:vertAlign w:val="baseline"/>
                <w:lang w:val="en-US" w:eastAsia="zh-CN"/>
              </w:rPr>
            </w:pPr>
            <w:r>
              <w:rPr>
                <w:rFonts w:hint="default"/>
                <w:vertAlign w:val="baseline"/>
                <w:lang w:val="en-US" w:eastAsia="zh-CN"/>
              </w:rPr>
              <w:t>30ml</w:t>
            </w:r>
          </w:p>
        </w:tc>
        <w:tc>
          <w:tcPr>
            <w:tcW w:w="3072" w:type="dxa"/>
          </w:tcPr>
          <w:p>
            <w:pPr>
              <w:tabs>
                <w:tab w:val="left" w:pos="1604"/>
              </w:tabs>
              <w:bidi w:val="0"/>
              <w:jc w:val="center"/>
              <w:rPr>
                <w:rFonts w:hint="default"/>
                <w:vertAlign w:val="baseline"/>
                <w:lang w:val="en-US" w:eastAsia="zh-CN"/>
              </w:rPr>
            </w:pPr>
            <w:r>
              <w:rPr>
                <w:rFonts w:hint="default"/>
                <w:vertAlign w:val="baseline"/>
                <w:lang w:val="en-US" w:eastAsia="zh-CN"/>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85" w:type="dxa"/>
          </w:tcPr>
          <w:p>
            <w:pPr>
              <w:tabs>
                <w:tab w:val="left" w:pos="1604"/>
              </w:tabs>
              <w:bidi w:val="0"/>
              <w:jc w:val="left"/>
              <w:rPr>
                <w:rFonts w:hint="default"/>
                <w:vertAlign w:val="baseline"/>
                <w:lang w:val="en-US" w:eastAsia="zh-CN"/>
              </w:rPr>
            </w:pPr>
            <w:r>
              <w:rPr>
                <w:rFonts w:hint="default"/>
                <w:vertAlign w:val="baseline"/>
                <w:lang w:val="en-US" w:eastAsia="zh-CN"/>
              </w:rPr>
              <w:t xml:space="preserve">试剂(E): LDH 保护剂 </w:t>
            </w:r>
          </w:p>
        </w:tc>
        <w:tc>
          <w:tcPr>
            <w:tcW w:w="2659" w:type="dxa"/>
          </w:tcPr>
          <w:p>
            <w:pPr>
              <w:tabs>
                <w:tab w:val="left" w:pos="1604"/>
              </w:tabs>
              <w:bidi w:val="0"/>
              <w:jc w:val="center"/>
              <w:rPr>
                <w:rFonts w:hint="default"/>
                <w:vertAlign w:val="baseline"/>
                <w:lang w:val="en-US" w:eastAsia="zh-CN"/>
              </w:rPr>
            </w:pPr>
            <w:r>
              <w:rPr>
                <w:rFonts w:hint="eastAsia"/>
              </w:rPr>
              <w:t>1 支</w:t>
            </w:r>
          </w:p>
        </w:tc>
        <w:tc>
          <w:tcPr>
            <w:tcW w:w="3072" w:type="dxa"/>
          </w:tcPr>
          <w:p>
            <w:pPr>
              <w:tabs>
                <w:tab w:val="left" w:pos="1604"/>
              </w:tabs>
              <w:bidi w:val="0"/>
              <w:jc w:val="center"/>
              <w:rPr>
                <w:rFonts w:hint="default"/>
                <w:vertAlign w:val="baseline"/>
                <w:lang w:val="en-US" w:eastAsia="zh-CN"/>
              </w:rPr>
            </w:pPr>
            <w:r>
              <w:rPr>
                <w:rFonts w:hint="default"/>
                <w:vertAlign w:val="baseline"/>
                <w:lang w:val="en-US" w:eastAsia="zh-CN"/>
              </w:rPr>
              <w:t>4℃ 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85" w:type="dxa"/>
          </w:tcPr>
          <w:p>
            <w:pPr>
              <w:tabs>
                <w:tab w:val="left" w:pos="1604"/>
              </w:tabs>
              <w:bidi w:val="0"/>
              <w:jc w:val="left"/>
              <w:rPr>
                <w:rFonts w:hint="default"/>
                <w:vertAlign w:val="baseline"/>
                <w:lang w:val="en-US" w:eastAsia="zh-CN"/>
              </w:rPr>
            </w:pPr>
            <w:r>
              <w:rPr>
                <w:rFonts w:hint="default"/>
                <w:vertAlign w:val="baseline"/>
                <w:lang w:val="en-US" w:eastAsia="zh-CN"/>
              </w:rPr>
              <w:t xml:space="preserve">试剂(F): LDH 保护稀释液 </w:t>
            </w:r>
          </w:p>
        </w:tc>
        <w:tc>
          <w:tcPr>
            <w:tcW w:w="2659" w:type="dxa"/>
          </w:tcPr>
          <w:p>
            <w:pPr>
              <w:tabs>
                <w:tab w:val="left" w:pos="1604"/>
              </w:tabs>
              <w:bidi w:val="0"/>
              <w:jc w:val="center"/>
              <w:rPr>
                <w:rFonts w:hint="default"/>
                <w:vertAlign w:val="baseline"/>
                <w:lang w:val="en-US" w:eastAsia="zh-CN"/>
              </w:rPr>
            </w:pPr>
            <w:r>
              <w:rPr>
                <w:rFonts w:hint="default"/>
                <w:vertAlign w:val="baseline"/>
                <w:lang w:val="en-US" w:eastAsia="zh-CN"/>
              </w:rPr>
              <w:t>1.5ml</w:t>
            </w:r>
          </w:p>
        </w:tc>
        <w:tc>
          <w:tcPr>
            <w:tcW w:w="3072" w:type="dxa"/>
          </w:tcPr>
          <w:p>
            <w:pPr>
              <w:tabs>
                <w:tab w:val="left" w:pos="1604"/>
              </w:tabs>
              <w:bidi w:val="0"/>
              <w:jc w:val="center"/>
              <w:rPr>
                <w:rFonts w:hint="default"/>
                <w:vertAlign w:val="baseline"/>
                <w:lang w:val="en-US" w:eastAsia="zh-CN"/>
              </w:rPr>
            </w:pPr>
            <w:r>
              <w:rPr>
                <w:rFonts w:hint="default"/>
                <w:vertAlign w:val="baseline"/>
                <w:lang w:val="en-US" w:eastAsia="zh-CN"/>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85" w:type="dxa"/>
          </w:tcPr>
          <w:p>
            <w:pPr>
              <w:tabs>
                <w:tab w:val="left" w:pos="1604"/>
              </w:tabs>
              <w:bidi w:val="0"/>
              <w:jc w:val="left"/>
              <w:rPr>
                <w:rFonts w:hint="default"/>
                <w:vertAlign w:val="baseline"/>
                <w:lang w:val="en-US" w:eastAsia="zh-CN"/>
              </w:rPr>
            </w:pPr>
            <w:r>
              <w:rPr>
                <w:rFonts w:hint="default"/>
                <w:vertAlign w:val="baseline"/>
                <w:lang w:val="en-US" w:eastAsia="zh-CN"/>
              </w:rPr>
              <w:t xml:space="preserve">使用说明书 </w:t>
            </w:r>
          </w:p>
        </w:tc>
        <w:tc>
          <w:tcPr>
            <w:tcW w:w="5731" w:type="dxa"/>
            <w:gridSpan w:val="2"/>
          </w:tcPr>
          <w:p>
            <w:pPr>
              <w:tabs>
                <w:tab w:val="left" w:pos="1604"/>
              </w:tabs>
              <w:bidi w:val="0"/>
              <w:jc w:val="center"/>
              <w:rPr>
                <w:rFonts w:hint="default"/>
                <w:vertAlign w:val="baseline"/>
                <w:lang w:val="en-US" w:eastAsia="zh-CN"/>
              </w:rPr>
            </w:pPr>
            <w:r>
              <w:rPr>
                <w:rFonts w:hint="default"/>
                <w:vertAlign w:val="baseline"/>
                <w:lang w:val="en-US" w:eastAsia="zh-CN"/>
              </w:rPr>
              <w:t>1 份</w:t>
            </w:r>
          </w:p>
        </w:tc>
      </w:tr>
    </w:tbl>
    <w:p>
      <w:pPr>
        <w:tabs>
          <w:tab w:val="left" w:pos="1604"/>
        </w:tabs>
        <w:bidi w:val="0"/>
        <w:jc w:val="left"/>
        <w:rPr>
          <w:rFonts w:hint="default"/>
          <w:lang w:val="en-US" w:eastAsia="zh-CN"/>
        </w:rPr>
      </w:pPr>
    </w:p>
    <w:p>
      <w:pPr>
        <w:bidi w:val="0"/>
        <w:rPr>
          <w:rFonts w:hint="default" w:ascii="MS Mincho" w:hAnsi="MS Mincho" w:eastAsia="MS Mincho" w:cs="MS Mincho"/>
          <w:sz w:val="22"/>
          <w:szCs w:val="22"/>
          <w:lang w:val="en-US" w:eastAsia="zh-CN" w:bidi="zh-CN"/>
        </w:rPr>
      </w:pPr>
    </w:p>
    <w:p>
      <w:pPr>
        <w:spacing w:beforeLines="0" w:after="75" w:afterLines="0" w:line="360" w:lineRule="auto"/>
        <w:ind w:right="225"/>
        <w:jc w:val="left"/>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自备材料：</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1、离心管或小试管</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2、水浴锅</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3、比色杯</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4、分光光度计或自动分析仪</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1、准备样品：</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①血浆、血清样品：血浆、血清按照常规方法制备，可以直接用于本试剂盒的测定，室温保</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存 3 天，用于 LDH 的检测。</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②细胞或组织样品：取恰当细胞或组织进行匀浆，低速离心取上清，室温保存 3 天，用于</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LDH 的检测。</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③长期保存样品：如果提取后的样品无法及时检测，需要放置时间较长，按下列方法操 作：</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取 LDH 保护剂 1 支，加入 1ml 的 LDH 保护稀释液，配制成 LDH 保护工作液，-20℃避光</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保存；按待测样品(如血清)：LDH 保护工作液=9:1 的比例混合，4℃避光保存。</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④(选做)样品准备完毕后可以用 BCA 蛋白浓度测定试剂盒测定蛋白浓度，以便于后续计算</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单位蛋白重量组织或细胞内的 LDH 含量。</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2、配制 LDH 检测储存液(10×)：取 1 支 NADH， 按 NADH：LD-P Assay buffer =1 支：</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10ml 的比例混合，即为 LDH 检测储存液(10×)。-20℃保存，2 月有效。</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3、配制 LDH 检测工作液：取适量的 LDH 检测储存液(10×)， 按 LDH 检测储存液(10×)：</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LD-P Assay buffer =1：9 的比例混合，即为 LDH 检测工作液。-20℃保存，2 周有效。</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4、配制丙酮酸工作液：取适量的丙酮酸溶液，按丙酮酸溶液：丙酮酸稀释液=1：9 的比例</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混合，即为丙酮酸工作液。4℃保存，1 个月有效。</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5、分光光度计测定：按照下表设置测定管，溶液应按照顺序依次加入，并注意避免产生气</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泡。如果样品中的 LDH 浓度过高，可以减少样品用量或适当稀释后再进行测定，样品</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的检测最好能设置平行管。</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46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69" w:type="dxa"/>
          </w:tcPr>
          <w:p>
            <w:pPr>
              <w:spacing w:beforeLines="0" w:after="75" w:afterLines="0" w:line="360" w:lineRule="auto"/>
              <w:ind w:right="225"/>
              <w:jc w:val="center"/>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加入物(ml)</w:t>
            </w:r>
          </w:p>
        </w:tc>
        <w:tc>
          <w:tcPr>
            <w:tcW w:w="3118" w:type="dxa"/>
          </w:tcPr>
          <w:p>
            <w:pPr>
              <w:spacing w:beforeLines="0" w:after="75" w:afterLines="0" w:line="360" w:lineRule="auto"/>
              <w:ind w:right="225"/>
              <w:jc w:val="center"/>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测定管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69" w:type="dxa"/>
          </w:tcPr>
          <w:p>
            <w:pPr>
              <w:spacing w:beforeLines="0" w:after="75" w:afterLines="0" w:line="360" w:lineRule="auto"/>
              <w:ind w:right="225"/>
              <w:jc w:val="center"/>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待测样品(血清、血浆、体液等)</w:t>
            </w:r>
          </w:p>
        </w:tc>
        <w:tc>
          <w:tcPr>
            <w:tcW w:w="3118" w:type="dxa"/>
          </w:tcPr>
          <w:p>
            <w:pPr>
              <w:spacing w:beforeLines="0" w:after="75" w:afterLines="0" w:line="360" w:lineRule="auto"/>
              <w:ind w:right="225"/>
              <w:jc w:val="center"/>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69" w:type="dxa"/>
          </w:tcPr>
          <w:p>
            <w:pPr>
              <w:spacing w:beforeLines="0" w:after="75" w:afterLines="0" w:line="360" w:lineRule="auto"/>
              <w:ind w:right="225"/>
              <w:jc w:val="center"/>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LDH 检测工作液</w:t>
            </w:r>
          </w:p>
        </w:tc>
        <w:tc>
          <w:tcPr>
            <w:tcW w:w="3118" w:type="dxa"/>
          </w:tcPr>
          <w:p>
            <w:pPr>
              <w:spacing w:beforeLines="0" w:after="75" w:afterLines="0" w:line="360" w:lineRule="auto"/>
              <w:ind w:right="225"/>
              <w:jc w:val="center"/>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87" w:type="dxa"/>
            <w:gridSpan w:val="2"/>
          </w:tcPr>
          <w:p>
            <w:pPr>
              <w:spacing w:beforeLines="0" w:after="75" w:afterLines="0" w:line="360" w:lineRule="auto"/>
              <w:ind w:right="225"/>
              <w:jc w:val="center"/>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混匀，37℃孵育 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69" w:type="dxa"/>
          </w:tcPr>
          <w:p>
            <w:pPr>
              <w:spacing w:beforeLines="0" w:after="75" w:afterLines="0" w:line="360" w:lineRule="auto"/>
              <w:ind w:right="225"/>
              <w:jc w:val="center"/>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丙酮酸工作液(37℃提前预热)</w:t>
            </w:r>
          </w:p>
        </w:tc>
        <w:tc>
          <w:tcPr>
            <w:tcW w:w="3118" w:type="dxa"/>
          </w:tcPr>
          <w:p>
            <w:pPr>
              <w:spacing w:beforeLines="0" w:after="75" w:afterLines="0" w:line="360" w:lineRule="auto"/>
              <w:ind w:right="225"/>
              <w:jc w:val="center"/>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0.2</w:t>
            </w:r>
          </w:p>
        </w:tc>
      </w:tr>
    </w:tbl>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混匀，比色杯光径 1cm，立即以分光光度计 340nm 处读取各管吸光度，记录为 A 测定 1 。</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每 1min 读取各管吸光度，记录为 A 测定 2 。注意：由于酶促反应时间极短，Leagene 建议</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加入丙酮酸工作液后立即检测，加样时间越短越好，其反应基本在 1~2min 内，其后反应</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趋于平缓。Leagene 标准品检测参考值在 0.1~0.2 之间，由于检测仪器、操作手法以及样</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品酶活性高低等条件的不同，参考值范围会有波动。</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6、自动分析仪测定：如果样品中浓度过高，可减少样品用量或适当稀释后再进行测定。样</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品的检测最好能设置平行管。根据实验室的自动分析仪性能，设置参数，下列参数仅供</w:t>
      </w:r>
    </w:p>
    <w:p>
      <w:pPr>
        <w:spacing w:beforeLines="0" w:after="75" w:afterLines="0" w:line="360" w:lineRule="auto"/>
        <w:ind w:right="225" w:firstLine="420" w:firstLineChars="200"/>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lang w:val="en-US" w:eastAsia="zh-CN" w:bidi="zh-CN"/>
        </w:rPr>
        <w:t>参考：</w:t>
      </w:r>
    </w:p>
    <w:tbl>
      <w:tblPr>
        <w:tblStyle w:val="9"/>
        <w:tblW w:w="0" w:type="auto"/>
        <w:tblInd w:w="1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046"/>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6" w:type="dxa"/>
          </w:tcPr>
          <w:p>
            <w:pPr>
              <w:spacing w:beforeLines="0" w:after="75" w:afterLines="0" w:line="360" w:lineRule="auto"/>
              <w:ind w:right="225"/>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 xml:space="preserve">温度 </w:t>
            </w:r>
          </w:p>
        </w:tc>
        <w:tc>
          <w:tcPr>
            <w:tcW w:w="3104" w:type="dxa"/>
          </w:tcPr>
          <w:p>
            <w:pPr>
              <w:spacing w:beforeLines="0" w:after="75" w:afterLines="0" w:line="360" w:lineRule="auto"/>
              <w:ind w:right="225"/>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6" w:type="dxa"/>
          </w:tcPr>
          <w:p>
            <w:pPr>
              <w:spacing w:beforeLines="0" w:after="75" w:afterLines="0" w:line="360" w:lineRule="auto"/>
              <w:ind w:right="225"/>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 xml:space="preserve">pH </w:t>
            </w:r>
          </w:p>
        </w:tc>
        <w:tc>
          <w:tcPr>
            <w:tcW w:w="3104" w:type="dxa"/>
          </w:tcPr>
          <w:p>
            <w:pPr>
              <w:spacing w:beforeLines="0" w:after="75" w:afterLines="0" w:line="360" w:lineRule="auto"/>
              <w:ind w:right="225"/>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6" w:type="dxa"/>
          </w:tcPr>
          <w:p>
            <w:pPr>
              <w:spacing w:beforeLines="0" w:after="75" w:afterLines="0" w:line="360" w:lineRule="auto"/>
              <w:ind w:right="225"/>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 xml:space="preserve">波长 </w:t>
            </w:r>
          </w:p>
        </w:tc>
        <w:tc>
          <w:tcPr>
            <w:tcW w:w="3104" w:type="dxa"/>
          </w:tcPr>
          <w:p>
            <w:pPr>
              <w:spacing w:beforeLines="0" w:after="75" w:afterLines="0" w:line="360" w:lineRule="auto"/>
              <w:ind w:right="225"/>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340nm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46" w:type="dxa"/>
          </w:tcPr>
          <w:p>
            <w:pPr>
              <w:spacing w:beforeLines="0" w:after="75" w:afterLines="0" w:line="360" w:lineRule="auto"/>
              <w:ind w:right="225"/>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延迟时间</w:t>
            </w:r>
          </w:p>
        </w:tc>
        <w:tc>
          <w:tcPr>
            <w:tcW w:w="3104" w:type="dxa"/>
          </w:tcPr>
          <w:p>
            <w:pPr>
              <w:spacing w:beforeLines="0" w:after="75" w:afterLines="0" w:line="360" w:lineRule="auto"/>
              <w:ind w:right="225"/>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46" w:type="dxa"/>
          </w:tcPr>
          <w:p>
            <w:pPr>
              <w:spacing w:beforeLines="0" w:after="75" w:afterLines="0" w:line="360" w:lineRule="auto"/>
              <w:ind w:right="225"/>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 xml:space="preserve">检测时间 </w:t>
            </w:r>
          </w:p>
        </w:tc>
        <w:tc>
          <w:tcPr>
            <w:tcW w:w="3104" w:type="dxa"/>
          </w:tcPr>
          <w:p>
            <w:pPr>
              <w:spacing w:beforeLines="0" w:after="75" w:afterLines="0" w:line="360" w:lineRule="auto"/>
              <w:ind w:right="225"/>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180s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6" w:type="dxa"/>
          </w:tcPr>
          <w:p>
            <w:pPr>
              <w:spacing w:beforeLines="0" w:after="75" w:afterLines="0" w:line="360" w:lineRule="auto"/>
              <w:ind w:right="225"/>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 xml:space="preserve">待测样品 </w:t>
            </w:r>
          </w:p>
        </w:tc>
        <w:tc>
          <w:tcPr>
            <w:tcW w:w="3104" w:type="dxa"/>
          </w:tcPr>
          <w:p>
            <w:pPr>
              <w:spacing w:beforeLines="0" w:after="75" w:afterLines="0" w:line="360" w:lineRule="auto"/>
              <w:ind w:right="225"/>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10μl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6" w:type="dxa"/>
          </w:tcPr>
          <w:p>
            <w:pPr>
              <w:spacing w:beforeLines="0" w:after="75" w:afterLines="0" w:line="360" w:lineRule="auto"/>
              <w:ind w:right="225"/>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LDH 检测工作液</w:t>
            </w:r>
          </w:p>
        </w:tc>
        <w:tc>
          <w:tcPr>
            <w:tcW w:w="3104" w:type="dxa"/>
          </w:tcPr>
          <w:p>
            <w:pPr>
              <w:spacing w:beforeLines="0" w:after="75" w:afterLines="0" w:line="360" w:lineRule="auto"/>
              <w:ind w:right="225"/>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 xml:space="preserve"> 260μl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46" w:type="dxa"/>
          </w:tcPr>
          <w:p>
            <w:pPr>
              <w:spacing w:beforeLines="0" w:after="75" w:afterLines="0" w:line="360" w:lineRule="auto"/>
              <w:ind w:right="225"/>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 xml:space="preserve">丙酮酸工作液 </w:t>
            </w:r>
          </w:p>
        </w:tc>
        <w:tc>
          <w:tcPr>
            <w:tcW w:w="3104" w:type="dxa"/>
          </w:tcPr>
          <w:p>
            <w:pPr>
              <w:spacing w:beforeLines="0" w:after="75" w:afterLines="0" w:line="360" w:lineRule="auto"/>
              <w:ind w:right="225"/>
              <w:jc w:val="both"/>
              <w:rPr>
                <w:rFonts w:hint="default" w:ascii="微软雅黑" w:hAnsi="微软雅黑" w:eastAsia="微软雅黑" w:cs="微软雅黑"/>
                <w:sz w:val="21"/>
                <w:szCs w:val="21"/>
                <w:vertAlign w:val="baseline"/>
                <w:lang w:val="en-US" w:eastAsia="zh-CN" w:bidi="zh-CN"/>
              </w:rPr>
            </w:pPr>
            <w:r>
              <w:rPr>
                <w:rFonts w:hint="default" w:ascii="微软雅黑" w:hAnsi="微软雅黑" w:eastAsia="微软雅黑" w:cs="微软雅黑"/>
                <w:sz w:val="21"/>
                <w:szCs w:val="21"/>
                <w:vertAlign w:val="baseline"/>
                <w:lang w:val="en-US" w:eastAsia="zh-CN" w:bidi="zh-CN"/>
              </w:rPr>
              <w:t>26μl</w:t>
            </w:r>
          </w:p>
        </w:tc>
      </w:tr>
    </w:tbl>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p>
    <w:p>
      <w:pPr>
        <w:spacing w:beforeLines="0" w:after="75" w:afterLines="0" w:line="360" w:lineRule="auto"/>
        <w:ind w:right="225" w:firstLine="1260" w:firstLineChars="6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记录待测样品管吸光度的下降速率(Δ A /min)。</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计算：</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手工比色计算公式：LDH(U/L)=Δ A /min×(10 6 /6220)×(2.25/0.05)=Δ A /min×7235</w:t>
      </w:r>
    </w:p>
    <w:p>
      <w:pPr>
        <w:spacing w:beforeLines="0" w:after="75" w:afterLines="0" w:line="360" w:lineRule="auto"/>
        <w:ind w:right="225" w:firstLine="420" w:firstLineChars="200"/>
        <w:jc w:val="center"/>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式中：Δ A /min=( A 测定 1 − A 测定 2 )/1</w:t>
      </w:r>
    </w:p>
    <w:p>
      <w:pPr>
        <w:spacing w:beforeLines="0" w:after="75" w:afterLines="0" w:line="360" w:lineRule="auto"/>
        <w:ind w:right="225" w:firstLine="420" w:firstLineChars="200"/>
        <w:jc w:val="center"/>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6220=NADH 的吸光度</w:t>
      </w:r>
    </w:p>
    <w:p>
      <w:pPr>
        <w:spacing w:beforeLines="0" w:after="75" w:afterLines="0" w:line="360" w:lineRule="auto"/>
        <w:ind w:right="225" w:firstLine="420" w:firstLineChars="200"/>
        <w:jc w:val="center"/>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2.25=反应液的总体积(ml)</w:t>
      </w:r>
    </w:p>
    <w:p>
      <w:pPr>
        <w:spacing w:beforeLines="0" w:after="75" w:afterLines="0" w:line="360" w:lineRule="auto"/>
        <w:ind w:right="225" w:firstLine="420" w:firstLineChars="200"/>
        <w:jc w:val="center"/>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0.05=待测样品体积(ml)</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自动分析仪计算公式：LDH(U/L)=Δ A /min×(10 6 /6220)×(296/10)=Δ A /min×4758.8</w:t>
      </w:r>
    </w:p>
    <w:p>
      <w:pPr>
        <w:spacing w:beforeLines="0" w:after="75" w:afterLines="0" w:line="360" w:lineRule="auto"/>
        <w:ind w:right="225" w:firstLine="420" w:firstLineChars="200"/>
        <w:jc w:val="center"/>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式中：Δ A /min=测定的 340nm 吸光度的下降速率</w:t>
      </w:r>
    </w:p>
    <w:p>
      <w:pPr>
        <w:spacing w:beforeLines="0" w:after="75" w:afterLines="0" w:line="360" w:lineRule="auto"/>
        <w:ind w:right="225" w:firstLine="420" w:firstLineChars="200"/>
        <w:jc w:val="center"/>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6220=NADH 的吸光度</w:t>
      </w:r>
    </w:p>
    <w:p>
      <w:pPr>
        <w:spacing w:beforeLines="0" w:after="75" w:afterLines="0" w:line="360" w:lineRule="auto"/>
        <w:ind w:right="225" w:firstLine="420" w:firstLineChars="200"/>
        <w:jc w:val="center"/>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296=反应液的总体积(μl)</w:t>
      </w:r>
    </w:p>
    <w:p>
      <w:pPr>
        <w:spacing w:beforeLines="0" w:after="75" w:afterLines="0" w:line="360" w:lineRule="auto"/>
        <w:ind w:right="225" w:firstLine="420" w:firstLineChars="200"/>
        <w:jc w:val="center"/>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10=待测样品体积(μl)</w:t>
      </w:r>
    </w:p>
    <w:p>
      <w:pPr>
        <w:spacing w:beforeLines="0" w:after="75" w:afterLines="0" w:line="360" w:lineRule="auto"/>
        <w:ind w:right="225" w:firstLine="420" w:firstLineChars="2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注意：如果待测样品加入 LDH 保护工作液，其结果应除以 0.9。</w:t>
      </w:r>
    </w:p>
    <w:p>
      <w:pPr>
        <w:bidi w:val="0"/>
        <w:rPr>
          <w:rFonts w:hint="default"/>
          <w:vertAlign w:val="baseline"/>
          <w:lang w:val="en-US" w:eastAsia="zh-CN"/>
        </w:rPr>
      </w:pPr>
      <w:r>
        <w:rPr>
          <w:rFonts w:hint="default"/>
          <w:lang w:val="en-US" w:eastAsia="zh-CN"/>
        </w:rPr>
        <w:t>参考范围：</w:t>
      </w:r>
    </w:p>
    <w:tbl>
      <w:tblPr>
        <w:tblStyle w:val="9"/>
        <w:tblW w:w="0" w:type="auto"/>
        <w:tblInd w:w="1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01"/>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1" w:type="dxa"/>
          </w:tcPr>
          <w:p>
            <w:pPr>
              <w:bidi w:val="0"/>
              <w:jc w:val="center"/>
              <w:rPr>
                <w:rFonts w:hint="default"/>
                <w:vertAlign w:val="baseline"/>
                <w:lang w:val="en-US" w:eastAsia="zh-CN"/>
              </w:rPr>
            </w:pPr>
            <w:r>
              <w:rPr>
                <w:rFonts w:hint="default"/>
                <w:vertAlign w:val="baseline"/>
                <w:lang w:val="en-US" w:eastAsia="zh-CN"/>
              </w:rPr>
              <w:t>成年健康人</w:t>
            </w:r>
          </w:p>
        </w:tc>
        <w:tc>
          <w:tcPr>
            <w:tcW w:w="2463" w:type="dxa"/>
          </w:tcPr>
          <w:p>
            <w:pPr>
              <w:bidi w:val="0"/>
              <w:jc w:val="center"/>
              <w:rPr>
                <w:rFonts w:hint="default"/>
                <w:vertAlign w:val="baseline"/>
                <w:lang w:val="en-US" w:eastAsia="zh-CN"/>
              </w:rPr>
            </w:pPr>
            <w:r>
              <w:rPr>
                <w:rFonts w:hint="default"/>
                <w:vertAlign w:val="baseline"/>
                <w:lang w:val="en-US" w:eastAsia="zh-CN"/>
              </w:rPr>
              <w:t>200～380U/L</w:t>
            </w:r>
          </w:p>
        </w:tc>
      </w:tr>
    </w:tbl>
    <w:p>
      <w:pPr>
        <w:bidi w:val="0"/>
        <w:rPr>
          <w:rFonts w:hint="default"/>
          <w:lang w:val="en-US" w:eastAsia="zh-CN"/>
        </w:rPr>
      </w:pPr>
    </w:p>
    <w:p>
      <w:pPr>
        <w:tabs>
          <w:tab w:val="left" w:pos="1604"/>
        </w:tabs>
        <w:bidi w:val="0"/>
        <w:jc w:val="left"/>
        <w:rPr>
          <w:rFonts w:hint="eastAsia"/>
          <w:lang w:val="en-US" w:eastAsia="zh-CN"/>
        </w:rPr>
      </w:pPr>
      <w:r>
        <w:rPr>
          <w:rFonts w:hint="eastAsia"/>
          <w:lang w:val="en-US" w:eastAsia="zh-CN"/>
        </w:rPr>
        <w:tab/>
      </w:r>
    </w:p>
    <w:p>
      <w:pPr>
        <w:tabs>
          <w:tab w:val="left" w:pos="1604"/>
        </w:tabs>
        <w:bidi w:val="0"/>
        <w:jc w:val="left"/>
        <w:rPr>
          <w:rFonts w:hint="eastAsia"/>
          <w:lang w:val="en-US" w:eastAsia="zh-CN"/>
        </w:rPr>
      </w:pPr>
    </w:p>
    <w:p>
      <w:pPr>
        <w:tabs>
          <w:tab w:val="left" w:pos="1604"/>
        </w:tabs>
        <w:bidi w:val="0"/>
        <w:jc w:val="left"/>
        <w:rPr>
          <w:rFonts w:hint="eastAsia"/>
          <w:lang w:val="en-US" w:eastAsia="zh-CN"/>
        </w:rPr>
      </w:pPr>
    </w:p>
    <w:p>
      <w:pPr>
        <w:tabs>
          <w:tab w:val="left" w:pos="1604"/>
        </w:tabs>
        <w:bidi w:val="0"/>
        <w:jc w:val="left"/>
        <w:rPr>
          <w:rFonts w:hint="eastAsia"/>
          <w:lang w:val="en-US" w:eastAsia="zh-CN"/>
        </w:rPr>
      </w:pPr>
    </w:p>
    <w:p>
      <w:pPr>
        <w:tabs>
          <w:tab w:val="left" w:pos="1604"/>
        </w:tabs>
        <w:bidi w:val="0"/>
        <w:jc w:val="left"/>
        <w:rPr>
          <w:rFonts w:hint="eastAsia"/>
          <w:lang w:val="en-US" w:eastAsia="zh-CN"/>
        </w:rPr>
      </w:pPr>
    </w:p>
    <w:p>
      <w:pPr>
        <w:tabs>
          <w:tab w:val="left" w:pos="1604"/>
        </w:tabs>
        <w:bidi w:val="0"/>
        <w:jc w:val="left"/>
        <w:rPr>
          <w:rFonts w:hint="eastAsia"/>
          <w:lang w:val="en-US" w:eastAsia="zh-CN"/>
        </w:rPr>
      </w:pPr>
    </w:p>
    <w:p>
      <w:pPr>
        <w:tabs>
          <w:tab w:val="left" w:pos="1604"/>
        </w:tabs>
        <w:bidi w:val="0"/>
        <w:jc w:val="left"/>
        <w:rPr>
          <w:rFonts w:hint="eastAsia"/>
          <w:lang w:val="en-US" w:eastAsia="zh-CN"/>
        </w:rPr>
      </w:pPr>
    </w:p>
    <w:p>
      <w:pPr>
        <w:tabs>
          <w:tab w:val="left" w:pos="1604"/>
        </w:tabs>
        <w:bidi w:val="0"/>
        <w:jc w:val="left"/>
        <w:rPr>
          <w:rFonts w:hint="eastAsia"/>
          <w:lang w:val="en-US" w:eastAsia="zh-CN"/>
        </w:rPr>
      </w:pPr>
    </w:p>
    <w:p>
      <w:pPr>
        <w:tabs>
          <w:tab w:val="left" w:pos="1604"/>
        </w:tabs>
        <w:bidi w:val="0"/>
        <w:jc w:val="left"/>
        <w:rPr>
          <w:rFonts w:hint="eastAsia"/>
          <w:lang w:val="en-US" w:eastAsia="zh-CN"/>
        </w:rPr>
      </w:pPr>
    </w:p>
    <w:p>
      <w:pPr>
        <w:spacing w:beforeLines="0" w:after="75" w:afterLines="0" w:line="360" w:lineRule="auto"/>
        <w:ind w:right="225"/>
        <w:jc w:val="left"/>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注意事项：</w:t>
      </w:r>
    </w:p>
    <w:p>
      <w:pPr>
        <w:tabs>
          <w:tab w:val="left" w:pos="1604"/>
        </w:tabs>
        <w:bidi w:val="0"/>
        <w:jc w:val="left"/>
        <w:rPr>
          <w:rFonts w:hint="default"/>
          <w:lang w:val="en-US" w:eastAsia="zh-CN"/>
        </w:rPr>
      </w:pPr>
      <w:r>
        <w:rPr>
          <w:rFonts w:hint="default"/>
          <w:lang w:val="en-US" w:eastAsia="zh-CN"/>
        </w:rPr>
        <w:t>1、 本法线性范围可达 3000U/L，当 LDH 浓度高于该范围可使用 LD-P Assay buffer 适当</w:t>
      </w:r>
    </w:p>
    <w:p>
      <w:pPr>
        <w:tabs>
          <w:tab w:val="left" w:pos="1604"/>
        </w:tabs>
        <w:bidi w:val="0"/>
        <w:jc w:val="left"/>
        <w:rPr>
          <w:rFonts w:hint="default"/>
          <w:lang w:val="en-US" w:eastAsia="zh-CN"/>
        </w:rPr>
      </w:pPr>
      <w:r>
        <w:rPr>
          <w:rFonts w:hint="default"/>
          <w:lang w:val="en-US" w:eastAsia="zh-CN"/>
        </w:rPr>
        <w:t>稀释后再进行检测，测出结果乘以稀释倍数。</w:t>
      </w:r>
    </w:p>
    <w:p>
      <w:pPr>
        <w:tabs>
          <w:tab w:val="left" w:pos="1604"/>
        </w:tabs>
        <w:bidi w:val="0"/>
        <w:jc w:val="left"/>
        <w:rPr>
          <w:rFonts w:hint="default"/>
          <w:lang w:val="en-US" w:eastAsia="zh-CN"/>
        </w:rPr>
      </w:pPr>
      <w:r>
        <w:rPr>
          <w:rFonts w:hint="default"/>
          <w:lang w:val="en-US" w:eastAsia="zh-CN"/>
        </w:rPr>
        <w:t>2、 处理后的样品应及时检测，否则 LD 4 和 LD 5 易失效。</w:t>
      </w:r>
    </w:p>
    <w:p>
      <w:pPr>
        <w:tabs>
          <w:tab w:val="left" w:pos="1604"/>
        </w:tabs>
        <w:bidi w:val="0"/>
        <w:jc w:val="left"/>
        <w:rPr>
          <w:rFonts w:hint="default"/>
          <w:lang w:val="en-US" w:eastAsia="zh-CN"/>
        </w:rPr>
      </w:pPr>
      <w:r>
        <w:rPr>
          <w:rFonts w:hint="default"/>
          <w:lang w:val="en-US" w:eastAsia="zh-CN"/>
        </w:rPr>
        <w:t>3、 血清或肝素抗凝血浆检测效果较好，草酸类、EDTA 抗凝剂对 LDH 活性有抑制作用。</w:t>
      </w:r>
    </w:p>
    <w:p>
      <w:pPr>
        <w:tabs>
          <w:tab w:val="left" w:pos="1604"/>
        </w:tabs>
        <w:bidi w:val="0"/>
        <w:jc w:val="left"/>
        <w:rPr>
          <w:rFonts w:hint="default"/>
          <w:lang w:val="en-US" w:eastAsia="zh-CN"/>
        </w:rPr>
      </w:pPr>
      <w:r>
        <w:rPr>
          <w:rFonts w:hint="default"/>
          <w:lang w:val="en-US" w:eastAsia="zh-CN"/>
        </w:rPr>
        <w:t>4、 避免使用溶血样品。</w:t>
      </w:r>
    </w:p>
    <w:p>
      <w:pPr>
        <w:tabs>
          <w:tab w:val="left" w:pos="1604"/>
        </w:tabs>
        <w:bidi w:val="0"/>
        <w:jc w:val="left"/>
        <w:rPr>
          <w:rFonts w:hint="default"/>
          <w:lang w:val="en-US" w:eastAsia="zh-CN"/>
        </w:rPr>
      </w:pPr>
    </w:p>
    <w:p>
      <w:pPr>
        <w:tabs>
          <w:tab w:val="left" w:pos="1604"/>
        </w:tabs>
        <w:bidi w:val="0"/>
        <w:jc w:val="left"/>
        <w:rPr>
          <w:rFonts w:hint="default"/>
          <w:lang w:val="en-US" w:eastAsia="zh-CN"/>
        </w:rPr>
      </w:pPr>
      <w:r>
        <w:rPr>
          <w:rFonts w:hint="default" w:ascii="微软雅黑" w:hAnsi="微软雅黑" w:eastAsia="微软雅黑" w:cs="微软雅黑"/>
          <w:b/>
          <w:bCs/>
          <w:sz w:val="24"/>
          <w:szCs w:val="24"/>
          <w:lang w:val="en-US" w:eastAsia="zh-CN"/>
        </w:rPr>
        <w:t>有效期：</w:t>
      </w:r>
      <w:r>
        <w:rPr>
          <w:rFonts w:hint="default"/>
          <w:lang w:val="en-US" w:eastAsia="zh-CN"/>
        </w:rPr>
        <w:t xml:space="preserve"> 6 个月有效。</w:t>
      </w:r>
    </w:p>
    <w:p>
      <w:pPr>
        <w:tabs>
          <w:tab w:val="left" w:pos="1604"/>
        </w:tabs>
        <w:bidi w:val="0"/>
        <w:jc w:val="left"/>
        <w:rPr>
          <w:rFonts w:hint="default"/>
          <w:lang w:val="en-US" w:eastAsia="zh-CN"/>
        </w:rPr>
      </w:pPr>
    </w:p>
    <w:sectPr>
      <w:headerReference r:id="rId3" w:type="default"/>
      <w:pgSz w:w="11900" w:h="16820"/>
      <w:pgMar w:top="1600" w:right="1220" w:bottom="280" w:left="168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114300" distR="114300">
          <wp:extent cx="1750695" cy="717550"/>
          <wp:effectExtent l="0" t="0" r="1905" b="635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
                  <a:stretch>
                    <a:fillRect/>
                  </a:stretch>
                </pic:blipFill>
                <pic:spPr>
                  <a:xfrm>
                    <a:off x="0" y="0"/>
                    <a:ext cx="1750695" cy="717550"/>
                  </a:xfrm>
                  <a:prstGeom prst="rect">
                    <a:avLst/>
                  </a:prstGeom>
                  <a:noFill/>
                  <a:ln>
                    <a:noFill/>
                  </a:ln>
                </pic:spPr>
              </pic:pic>
            </a:graphicData>
          </a:graphic>
        </wp:inline>
      </w:drawing>
    </w:r>
    <w:r>
      <w:rPr>
        <w:sz w:val="32"/>
      </w:rPr>
      <mc:AlternateContent>
        <mc:Choice Requires="wps">
          <w:drawing>
            <wp:anchor distT="0" distB="0" distL="114300" distR="114300" simplePos="0" relativeHeight="503309312" behindDoc="0" locked="0" layoutInCell="1" allowOverlap="1">
              <wp:simplePos x="0" y="0"/>
              <wp:positionH relativeFrom="column">
                <wp:posOffset>3501390</wp:posOffset>
              </wp:positionH>
              <wp:positionV relativeFrom="paragraph">
                <wp:posOffset>2540</wp:posOffset>
              </wp:positionV>
              <wp:extent cx="1929765" cy="888365"/>
              <wp:effectExtent l="4445" t="4445" r="8890" b="21590"/>
              <wp:wrapNone/>
              <wp:docPr id="4" name="文本框 4"/>
              <wp:cNvGraphicFramePr/>
              <a:graphic xmlns:a="http://schemas.openxmlformats.org/drawingml/2006/main">
                <a:graphicData uri="http://schemas.microsoft.com/office/word/2010/wordprocessingShape">
                  <wps:wsp>
                    <wps:cNvSpPr txBox="1"/>
                    <wps:spPr>
                      <a:xfrm>
                        <a:off x="4568190" y="472440"/>
                        <a:ext cx="1929765" cy="888365"/>
                      </a:xfrm>
                      <a:prstGeom prst="rect">
                        <a:avLst/>
                      </a:prstGeom>
                      <a:solidFill>
                        <a:srgbClr val="FFFFFF"/>
                      </a:solidFill>
                      <a:ln w="6350">
                        <a:solidFill>
                          <a:srgbClr val="FFFFFF"/>
                        </a:solidFill>
                      </a:ln>
                      <a:effectLst/>
                    </wps:spPr>
                    <wps:txb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7pt;margin-top:0.2pt;height:69.95pt;width:151.95pt;z-index:503309312;mso-width-relative:page;mso-height-relative:page;" fillcolor="#FFFFFF" filled="t" stroked="t" coordsize="21600,21600" o:gfxdata="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yiChdcAAAAIAQAADwAAAAAAAAABACAA&#10;AAAiAAAAZHJzL2Rvd25yZXYueG1sUEsBAhQAFAAAAAgAh07iQAwJfCdHAgAAgwQAAA4AAAAAAAAA&#10;AQAgAAAAJgEAAGRycy9lMm9Eb2MueG1sUEsFBgAAAAAGAAYAWQEAAN8FAAAAAA==&#10;">
              <v:fill on="t" focussize="0,0"/>
              <v:stroke weight="0.5pt" color="#FFFFFF" joinstyle="round"/>
              <v:imagedata o:title=""/>
              <o:lock v:ext="edit" aspectratio="f"/>
              <v:textbo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55FB4"/>
    <w:rsid w:val="08314152"/>
    <w:rsid w:val="08E22FF9"/>
    <w:rsid w:val="09771772"/>
    <w:rsid w:val="0A160B13"/>
    <w:rsid w:val="0CD03759"/>
    <w:rsid w:val="0E05003A"/>
    <w:rsid w:val="0EF37BC9"/>
    <w:rsid w:val="10B937BA"/>
    <w:rsid w:val="1257478E"/>
    <w:rsid w:val="133270C2"/>
    <w:rsid w:val="13747265"/>
    <w:rsid w:val="15094E42"/>
    <w:rsid w:val="17BE39E4"/>
    <w:rsid w:val="17C72D48"/>
    <w:rsid w:val="18F21F10"/>
    <w:rsid w:val="1A111D38"/>
    <w:rsid w:val="1C4A5DCF"/>
    <w:rsid w:val="1C6F5233"/>
    <w:rsid w:val="1DE47B23"/>
    <w:rsid w:val="1ECA2316"/>
    <w:rsid w:val="1ED51427"/>
    <w:rsid w:val="206B29DA"/>
    <w:rsid w:val="232A2082"/>
    <w:rsid w:val="23FF188A"/>
    <w:rsid w:val="249C62BB"/>
    <w:rsid w:val="25931122"/>
    <w:rsid w:val="26217550"/>
    <w:rsid w:val="267B6097"/>
    <w:rsid w:val="27B0263A"/>
    <w:rsid w:val="27E1458F"/>
    <w:rsid w:val="286B3B4E"/>
    <w:rsid w:val="28FE1800"/>
    <w:rsid w:val="29126F5D"/>
    <w:rsid w:val="2A5B29F9"/>
    <w:rsid w:val="2B0A5988"/>
    <w:rsid w:val="2C500100"/>
    <w:rsid w:val="2D9468A8"/>
    <w:rsid w:val="2E4C2474"/>
    <w:rsid w:val="2ECF3CC2"/>
    <w:rsid w:val="2FCB1D0D"/>
    <w:rsid w:val="3098481A"/>
    <w:rsid w:val="324159A6"/>
    <w:rsid w:val="32697AD0"/>
    <w:rsid w:val="342A141B"/>
    <w:rsid w:val="35294AEA"/>
    <w:rsid w:val="37007ADE"/>
    <w:rsid w:val="383D440E"/>
    <w:rsid w:val="393E678C"/>
    <w:rsid w:val="3DAC52A6"/>
    <w:rsid w:val="3DD94FB0"/>
    <w:rsid w:val="3DE12D46"/>
    <w:rsid w:val="3F1578F8"/>
    <w:rsid w:val="41E11C5E"/>
    <w:rsid w:val="420D54F7"/>
    <w:rsid w:val="42672385"/>
    <w:rsid w:val="42843918"/>
    <w:rsid w:val="436A76C0"/>
    <w:rsid w:val="436C7D7E"/>
    <w:rsid w:val="467B01DC"/>
    <w:rsid w:val="47EA0923"/>
    <w:rsid w:val="48DF7540"/>
    <w:rsid w:val="49265300"/>
    <w:rsid w:val="4B1D1D88"/>
    <w:rsid w:val="4F6010CA"/>
    <w:rsid w:val="501C2232"/>
    <w:rsid w:val="517B11FD"/>
    <w:rsid w:val="522B07B3"/>
    <w:rsid w:val="524C4A25"/>
    <w:rsid w:val="52C40D0F"/>
    <w:rsid w:val="554137E0"/>
    <w:rsid w:val="572E2FBD"/>
    <w:rsid w:val="58E43842"/>
    <w:rsid w:val="5AC853F2"/>
    <w:rsid w:val="5B5F4D7C"/>
    <w:rsid w:val="5C2B58D2"/>
    <w:rsid w:val="5CC90C33"/>
    <w:rsid w:val="5D35021E"/>
    <w:rsid w:val="5DEC0ED8"/>
    <w:rsid w:val="5F0500D7"/>
    <w:rsid w:val="60340CB9"/>
    <w:rsid w:val="60B92B56"/>
    <w:rsid w:val="623678D5"/>
    <w:rsid w:val="623A6919"/>
    <w:rsid w:val="628B1E38"/>
    <w:rsid w:val="629C1EE8"/>
    <w:rsid w:val="62F767F2"/>
    <w:rsid w:val="62FB7F17"/>
    <w:rsid w:val="63FC59EE"/>
    <w:rsid w:val="665A5EB8"/>
    <w:rsid w:val="66963D6C"/>
    <w:rsid w:val="6BD40F38"/>
    <w:rsid w:val="6D6B48A6"/>
    <w:rsid w:val="6D8E5CCF"/>
    <w:rsid w:val="6EB206AF"/>
    <w:rsid w:val="6FD47DB9"/>
    <w:rsid w:val="712035B3"/>
    <w:rsid w:val="726E2937"/>
    <w:rsid w:val="75106537"/>
    <w:rsid w:val="75A16D6B"/>
    <w:rsid w:val="78ED7825"/>
    <w:rsid w:val="79E44FEE"/>
    <w:rsid w:val="7BD1728A"/>
    <w:rsid w:val="7CDE1C6F"/>
    <w:rsid w:val="7E1079ED"/>
    <w:rsid w:val="7E3B707B"/>
    <w:rsid w:val="7E5E5BDA"/>
    <w:rsid w:val="7EF43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Mincho" w:hAnsi="MS Mincho" w:eastAsia="MS Mincho" w:cs="MS Mincho"/>
      <w:sz w:val="22"/>
      <w:szCs w:val="22"/>
      <w:lang w:val="zh-CN" w:eastAsia="zh-CN" w:bidi="zh-CN"/>
    </w:rPr>
  </w:style>
  <w:style w:type="paragraph" w:styleId="2">
    <w:name w:val="heading 1"/>
    <w:basedOn w:val="1"/>
    <w:next w:val="1"/>
    <w:qFormat/>
    <w:uiPriority w:val="1"/>
    <w:pPr>
      <w:ind w:left="403"/>
      <w:outlineLvl w:val="1"/>
    </w:pPr>
    <w:rPr>
      <w:rFonts w:ascii="MS Mincho" w:hAnsi="MS Mincho" w:eastAsia="MS Mincho" w:cs="MS Mincho"/>
      <w:b/>
      <w:bCs/>
      <w:sz w:val="24"/>
      <w:szCs w:val="24"/>
      <w:lang w:val="zh-CN" w:eastAsia="zh-CN" w:bidi="zh-CN"/>
    </w:rPr>
  </w:style>
  <w:style w:type="paragraph" w:styleId="3">
    <w:name w:val="heading 2"/>
    <w:basedOn w:val="1"/>
    <w:next w:val="1"/>
    <w:qFormat/>
    <w:uiPriority w:val="1"/>
    <w:pPr>
      <w:ind w:left="440"/>
      <w:outlineLvl w:val="2"/>
    </w:pPr>
    <w:rPr>
      <w:rFonts w:ascii="微软雅黑" w:hAnsi="微软雅黑" w:eastAsia="微软雅黑" w:cs="微软雅黑"/>
      <w:b/>
      <w:bCs/>
      <w:sz w:val="21"/>
      <w:szCs w:val="21"/>
      <w:lang w:val="en-US" w:eastAsia="en-US" w:bidi="en-US"/>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MS Mincho" w:hAnsi="MS Mincho" w:eastAsia="MS Mincho" w:cs="MS Mincho"/>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2019-01-16T08:54:00Z</dcterms:created>
  <dc:creator>Administrator</dc:creator>
  <cp:lastModifiedBy>Administrator</cp:lastModifiedBy>
  <dcterms:modified xsi:type="dcterms:W3CDTF">2020-08-19T06:27:40Z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2019-01-16T00:00:00Z</vt:filetime>
  </property>
  <property fmtid="{D5CDD505-2E9C-101B-9397-08002B2CF9AE}" pid="5" name="KSOProductBuildVer">
    <vt:lpwstr>2052-11.1.0.9912</vt:lpwstr>
  </property>
</Properties>
</file>